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111125</wp:posOffset>
            </wp:positionV>
            <wp:extent cx="3600450" cy="5266055"/>
            <wp:effectExtent l="0" t="0" r="0" b="10795"/>
            <wp:wrapSquare wrapText="bothSides"/>
            <wp:docPr id="4" name="图片 4" descr="湖北财税职业学院第十五届院团委学生干部换届大会隆重召开 - 湖北财税职业学院学生工作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湖北财税职业学院第十五届院团委学生干部换届大会隆重召开 - 湖北财税职业学院学生工作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简体" w:eastAsia="方正黑体简体" w:cs="Times New Roman"/>
          <w:sz w:val="32"/>
          <w:szCs w:val="32"/>
        </w:rPr>
        <w:t>学校党委指导学生会组织工作情况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院党委把学生会建设纳入学院党建工作整体规划，定期听取院学生会工作汇报，研究决定院学生会重大事项，并将其作为为党育人的重要组织载体。不断加强和完善学院党委对共青团、学生会等群团组织的政治领导与工作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院党委高度重视学生会的各项工作，强调院系学生会组织作为学院党委联系青年学生的桥梁纽带，要始终坚持以全心全意为同学服务的宗旨，强化服务意识，创新工作思维，严管组织骨干，展现清新阳光的形象风貌，在思想引领、权益维护、深化改革、学风建设等方面扎实有效的开展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9B14655"/>
    <w:rsid w:val="33983844"/>
    <w:rsid w:val="4F9B407D"/>
    <w:rsid w:val="4FD13E6E"/>
    <w:rsid w:val="54FF3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3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</Words>
  <Characters>4</Characters>
  <Paragraphs>1</Paragraphs>
  <TotalTime>1</TotalTime>
  <ScaleCrop>false</ScaleCrop>
  <LinksUpToDate>false</LinksUpToDate>
  <CharactersWithSpaces>4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2020-12-10T11:07:00Z</dcterms:created>
  <dc:creator>MI 8</dc:creator>
  <cp:lastModifiedBy>Administrator</cp:lastModifiedBy>
  <dcterms:modified xsi:type="dcterms:W3CDTF">2020-12-11T03:14:48Z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